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jc w:val="center"/>
        <w:rPr>
          <w:rFonts w:ascii="Liberation Serif" w:hAnsi="Liberation Serif"/>
        </w:rPr>
      </w:pPr>
      <w:r>
        <w:rPr/>
        <w:drawing>
          <wp:inline distT="0" distB="0" distL="0" distR="0">
            <wp:extent cx="1025525" cy="1002030"/>
            <wp:effectExtent l="0" t="0" r="0" b="0"/>
            <wp:docPr id="1" name="Immagine 1" descr="sigi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igillo1"/>
                    <pic:cNvPicPr>
                      <a:picLocks noChangeAspect="1" noChangeArrowheads="1"/>
                    </pic:cNvPicPr>
                  </pic:nvPicPr>
                  <pic:blipFill>
                    <a:blip r:embed="rId2"/>
                    <a:stretch>
                      <a:fillRect/>
                    </a:stretch>
                  </pic:blipFill>
                  <pic:spPr bwMode="auto">
                    <a:xfrm>
                      <a:off x="0" y="0"/>
                      <a:ext cx="1025525" cy="1002030"/>
                    </a:xfrm>
                    <a:prstGeom prst="rect">
                      <a:avLst/>
                    </a:prstGeom>
                  </pic:spPr>
                </pic:pic>
              </a:graphicData>
            </a:graphic>
          </wp:inline>
        </w:drawing>
      </w:r>
    </w:p>
    <w:p>
      <w:pPr>
        <w:pStyle w:val="Normal"/>
        <w:shd w:val="clear" w:color="auto" w:fill="FFFFFF"/>
        <w:jc w:val="center"/>
        <w:rPr>
          <w:rFonts w:ascii="Liberation Serif" w:hAnsi="Liberation Serif"/>
        </w:rPr>
      </w:pPr>
      <w:r>
        <w:rPr>
          <w:color w:val="333333"/>
          <w:sz w:val="16"/>
          <w:szCs w:val="16"/>
        </w:rPr>
        <w:t>DIPARTIMENTO DI STORIA CULTURE CIVILT</w:t>
      </w:r>
      <w:r>
        <w:rPr>
          <w:caps/>
          <w:color w:val="333333"/>
          <w:sz w:val="16"/>
          <w:szCs w:val="16"/>
        </w:rPr>
        <w:t>à</w:t>
      </w:r>
      <w:r>
        <w:rPr>
          <w:sz w:val="16"/>
          <w:szCs w:val="16"/>
        </w:rPr>
        <w:br/>
        <w:t>SEZIONE DI STUDI ANTROPOLOGICI, ORIENTALI, STORICO-RELIGIOSI</w:t>
      </w:r>
    </w:p>
    <w:p>
      <w:pPr>
        <w:pStyle w:val="Header"/>
        <w:jc w:val="center"/>
        <w:rPr>
          <w:rFonts w:ascii="Liberation Serif" w:hAnsi="Liberation Serif"/>
          <w:b/>
          <w:bCs/>
          <w:sz w:val="4"/>
          <w:szCs w:val="4"/>
        </w:rPr>
      </w:pPr>
      <w:r>
        <w:rPr>
          <w:rFonts w:ascii="Liberation Serif" w:hAnsi="Liberation Serif"/>
          <w:b/>
          <w:bCs/>
          <w:sz w:val="4"/>
          <w:szCs w:val="4"/>
        </w:rPr>
      </w:r>
    </w:p>
    <w:p>
      <w:pPr>
        <w:pStyle w:val="Normal"/>
        <w:bidi w:val="0"/>
        <w:jc w:val="center"/>
        <w:rPr>
          <w:rFonts w:ascii="Liberation Serif" w:hAnsi="Liberation Serif"/>
        </w:rPr>
      </w:pPr>
      <w:r>
        <w:rPr>
          <w:b/>
          <w:bCs/>
          <w:sz w:val="50"/>
          <w:szCs w:val="50"/>
        </w:rPr>
        <w:t>A Roundtable on Manuscripts Studies</w:t>
      </w:r>
    </w:p>
    <w:p>
      <w:pPr>
        <w:pStyle w:val="Normal"/>
        <w:bidi w:val="0"/>
        <w:jc w:val="center"/>
        <w:rPr>
          <w:rFonts w:ascii="Liberation Serif" w:hAnsi="Liberation Serif"/>
          <w:sz w:val="16"/>
          <w:szCs w:val="16"/>
        </w:rPr>
      </w:pPr>
      <w:r>
        <w:rPr>
          <w:sz w:val="16"/>
          <w:szCs w:val="16"/>
        </w:rPr>
      </w:r>
    </w:p>
    <w:p>
      <w:pPr>
        <w:pStyle w:val="Normal"/>
        <w:bidi w:val="0"/>
        <w:jc w:val="center"/>
        <w:rPr>
          <w:rFonts w:ascii="Liberation Serif" w:hAnsi="Liberation Serif"/>
        </w:rPr>
      </w:pPr>
      <w:r>
        <w:rPr/>
        <w:t xml:space="preserve">S. Giovanni in Monte, 2 - </w:t>
      </w:r>
      <w:r>
        <w:rPr>
          <w:u w:val="single"/>
        </w:rPr>
        <w:t>Aula Gambi</w:t>
      </w:r>
    </w:p>
    <w:p>
      <w:pPr>
        <w:pStyle w:val="Normal"/>
        <w:bidi w:val="0"/>
        <w:jc w:val="center"/>
        <w:rPr>
          <w:rFonts w:ascii="Liberation Serif" w:hAnsi="Liberation Serif"/>
        </w:rPr>
      </w:pPr>
      <w:bookmarkStart w:id="0" w:name="__DdeLink__12992_1780358461"/>
      <w:r>
        <w:rPr/>
        <w:t>Wednesday, November 20th</w:t>
      </w:r>
      <w:bookmarkEnd w:id="0"/>
    </w:p>
    <w:p>
      <w:pPr>
        <w:pStyle w:val="Normal"/>
        <w:bidi w:val="0"/>
        <w:jc w:val="both"/>
        <w:rPr>
          <w:rFonts w:ascii="Liberation Serif" w:hAnsi="Liberation Serif"/>
        </w:rPr>
      </w:pPr>
      <w:r>
        <w:rPr/>
      </w:r>
    </w:p>
    <w:p>
      <w:pPr>
        <w:pStyle w:val="Normal"/>
        <w:bidi w:val="0"/>
        <w:jc w:val="both"/>
        <w:rPr>
          <w:rFonts w:ascii="Liberation Serif" w:hAnsi="Liberation Serif"/>
        </w:rPr>
      </w:pPr>
      <w:r>
        <w:rPr/>
        <w:t>Over the last two decades, manuscript studies have known a renewed and sustained interest. This includes a deep methodological rethinking that has fully incorporated both the comparative approach as well as a programmatic effort in integrating the contributions from the humanities, natural sciences and information sciences.</w:t>
      </w:r>
    </w:p>
    <w:p>
      <w:pPr>
        <w:pStyle w:val="Normal"/>
        <w:bidi w:val="0"/>
        <w:jc w:val="both"/>
        <w:rPr>
          <w:rFonts w:ascii="Liberation Serif" w:hAnsi="Liberation Serif"/>
        </w:rPr>
      </w:pPr>
      <w:r>
        <w:rPr/>
        <w:tab/>
        <w:t xml:space="preserve">Prof Michael Friedrich, founder of the Center for the Study of Manuscript Cultures (CSMC) of the University of Hamburg, is a visiting fellow of the MemoryLab of the department of History and Culture (DISCI) of the University of Bologna in November 2024. His visit will offer the chance to take stock of some of the current research on manuscript studies at DISCI as well as across the University of Bologna. </w:t>
      </w:r>
    </w:p>
    <w:p>
      <w:pPr>
        <w:pStyle w:val="Normal"/>
        <w:bidi w:val="0"/>
        <w:jc w:val="both"/>
        <w:rPr>
          <w:rFonts w:ascii="Liberation Serif" w:hAnsi="Liberation Serif"/>
        </w:rPr>
      </w:pPr>
      <w:r>
        <w:rPr/>
        <w:tab/>
        <w:t>Participants will discuss their past, present and future research interest and activities. Some of the key ideas that will be discussed are:</w:t>
      </w:r>
    </w:p>
    <w:p>
      <w:pPr>
        <w:pStyle w:val="Normal"/>
        <w:bidi w:val="0"/>
        <w:jc w:val="both"/>
        <w:rPr>
          <w:rFonts w:ascii="Liberation Serif" w:hAnsi="Liberation Serif"/>
          <w:sz w:val="14"/>
          <w:szCs w:val="14"/>
        </w:rPr>
      </w:pPr>
      <w:r>
        <w:rPr>
          <w:sz w:val="14"/>
          <w:szCs w:val="14"/>
        </w:rPr>
      </w:r>
    </w:p>
    <w:p>
      <w:pPr>
        <w:sectPr>
          <w:type w:val="nextPage"/>
          <w:pgSz w:w="11906" w:h="16838"/>
          <w:pgMar w:left="680" w:right="680" w:gutter="0" w:header="0" w:top="510" w:footer="0" w:bottom="510"/>
          <w:pgNumType w:fmt="decimal"/>
          <w:formProt w:val="false"/>
          <w:textDirection w:val="lrTb"/>
          <w:docGrid w:type="default" w:linePitch="100" w:charSpace="0"/>
        </w:sectPr>
      </w:pPr>
    </w:p>
    <w:p>
      <w:pPr>
        <w:pStyle w:val="Normal"/>
        <w:bidi w:val="0"/>
        <w:jc w:val="both"/>
        <w:rPr>
          <w:rFonts w:ascii="Liberation Serif" w:hAnsi="Liberation Serif"/>
        </w:rPr>
      </w:pPr>
      <w:r>
        <w:rPr>
          <w:sz w:val="20"/>
          <w:szCs w:val="20"/>
        </w:rPr>
        <w:t>- Manuscripts as tools/agents of memory</w:t>
      </w:r>
    </w:p>
    <w:p>
      <w:pPr>
        <w:pStyle w:val="Normal"/>
        <w:bidi w:val="0"/>
        <w:jc w:val="both"/>
        <w:rPr>
          <w:rFonts w:ascii="Liberation Serif" w:hAnsi="Liberation Serif"/>
        </w:rPr>
      </w:pPr>
      <w:r>
        <w:rPr>
          <w:sz w:val="20"/>
          <w:szCs w:val="20"/>
        </w:rPr>
        <w:t>- Paratexts / Paracontents</w:t>
      </w:r>
    </w:p>
    <w:p>
      <w:pPr>
        <w:pStyle w:val="Normal"/>
        <w:bidi w:val="0"/>
        <w:jc w:val="both"/>
        <w:rPr>
          <w:rFonts w:ascii="Liberation Serif" w:hAnsi="Liberation Serif"/>
        </w:rPr>
      </w:pPr>
      <w:r>
        <w:rPr>
          <w:sz w:val="20"/>
          <w:szCs w:val="20"/>
        </w:rPr>
        <w:t>- Layout</w:t>
      </w:r>
    </w:p>
    <w:p>
      <w:pPr>
        <w:pStyle w:val="Normal"/>
        <w:bidi w:val="0"/>
        <w:jc w:val="both"/>
        <w:rPr>
          <w:rFonts w:ascii="Liberation Serif" w:hAnsi="Liberation Serif"/>
        </w:rPr>
      </w:pPr>
      <w:r>
        <w:rPr>
          <w:sz w:val="20"/>
          <w:szCs w:val="20"/>
        </w:rPr>
        <w:t>- Composite manuscripts, Multiple-text manuscripts</w:t>
      </w:r>
    </w:p>
    <w:p>
      <w:pPr>
        <w:pStyle w:val="Normal"/>
        <w:bidi w:val="0"/>
        <w:jc w:val="both"/>
        <w:rPr>
          <w:rFonts w:ascii="Liberation Serif" w:hAnsi="Liberation Serif"/>
        </w:rPr>
      </w:pPr>
      <w:r>
        <w:rPr>
          <w:sz w:val="20"/>
          <w:szCs w:val="20"/>
        </w:rPr>
        <w:t>- Interaction between manuscripts and other media</w:t>
      </w:r>
    </w:p>
    <w:p>
      <w:pPr>
        <w:pStyle w:val="Normal"/>
        <w:bidi w:val="0"/>
        <w:jc w:val="both"/>
        <w:rPr>
          <w:rFonts w:ascii="Liberation Serif" w:hAnsi="Liberation Serif"/>
        </w:rPr>
      </w:pPr>
      <w:r>
        <w:rPr>
          <w:sz w:val="20"/>
          <w:szCs w:val="20"/>
        </w:rPr>
        <w:t>- The formation of manuscript collections</w:t>
      </w:r>
    </w:p>
    <w:p>
      <w:pPr>
        <w:pStyle w:val="Normal"/>
        <w:bidi w:val="0"/>
        <w:jc w:val="both"/>
        <w:rPr>
          <w:rFonts w:ascii="Liberation Serif" w:hAnsi="Liberation Serif"/>
        </w:rPr>
      </w:pPr>
      <w:r>
        <w:rPr>
          <w:sz w:val="20"/>
          <w:szCs w:val="20"/>
        </w:rPr>
        <w:t>- The role of manuscript studies in the shaping of philological, historiogrpahical and ethnographic methods</w:t>
      </w:r>
    </w:p>
    <w:p>
      <w:pPr>
        <w:sectPr>
          <w:type w:val="continuous"/>
          <w:pgSz w:w="11906" w:h="16838"/>
          <w:pgMar w:left="680" w:right="680" w:gutter="0" w:header="0" w:top="510" w:footer="0" w:bottom="510"/>
          <w:cols w:num="2" w:space="282" w:equalWidth="true" w:sep="false"/>
          <w:formProt w:val="false"/>
          <w:textDirection w:val="lrTb"/>
          <w:docGrid w:type="default" w:linePitch="100" w:charSpace="0"/>
        </w:sectPr>
      </w:pPr>
    </w:p>
    <w:p>
      <w:pPr>
        <w:pStyle w:val="Normal"/>
        <w:bidi w:val="0"/>
        <w:jc w:val="both"/>
        <w:rPr>
          <w:rFonts w:ascii="Liberation Serif" w:hAnsi="Liberation Serif"/>
          <w:sz w:val="14"/>
          <w:szCs w:val="14"/>
        </w:rPr>
      </w:pPr>
      <w:r>
        <w:rPr>
          <w:sz w:val="14"/>
          <w:szCs w:val="14"/>
        </w:rPr>
      </w:r>
    </w:p>
    <w:p>
      <w:pPr>
        <w:pStyle w:val="Normal"/>
        <w:bidi w:val="0"/>
        <w:jc w:val="center"/>
        <w:rPr>
          <w:rFonts w:ascii="Liberation Serif" w:hAnsi="Liberation Serif"/>
        </w:rPr>
      </w:pPr>
      <w:r>
        <w:rPr>
          <w:b/>
          <w:bCs/>
          <w:i w:val="false"/>
          <w:iCs w:val="false"/>
          <w:u w:val="single"/>
        </w:rPr>
        <w:t>Programme</w:t>
      </w:r>
    </w:p>
    <w:p>
      <w:pPr>
        <w:pStyle w:val="Normal"/>
        <w:bidi w:val="0"/>
        <w:jc w:val="both"/>
        <w:rPr>
          <w:rFonts w:ascii="Liberation Serif" w:hAnsi="Liberation Serif"/>
          <w:sz w:val="20"/>
          <w:szCs w:val="20"/>
        </w:rPr>
      </w:pPr>
      <w:r>
        <w:rPr>
          <w:sz w:val="20"/>
          <w:szCs w:val="20"/>
        </w:rPr>
      </w:r>
    </w:p>
    <w:p>
      <w:pPr>
        <w:sectPr>
          <w:type w:val="continuous"/>
          <w:pgSz w:w="11906" w:h="16838"/>
          <w:pgMar w:left="680" w:right="680" w:gutter="0" w:header="0" w:top="510" w:footer="0" w:bottom="510"/>
          <w:formProt w:val="false"/>
          <w:textDirection w:val="lrTb"/>
          <w:docGrid w:type="default" w:linePitch="100" w:charSpace="0"/>
        </w:sectPr>
      </w:pPr>
    </w:p>
    <w:p>
      <w:pPr>
        <w:pStyle w:val="Normal"/>
        <w:bidi w:val="0"/>
        <w:jc w:val="both"/>
        <w:rPr>
          <w:sz w:val="23"/>
          <w:szCs w:val="23"/>
        </w:rPr>
      </w:pPr>
      <w:r>
        <w:rPr>
          <w:sz w:val="23"/>
          <w:szCs w:val="23"/>
          <w:shd w:fill="auto" w:val="clear"/>
        </w:rPr>
        <w:t xml:space="preserve">09.45–10.00 </w:t>
      </w:r>
      <w:r>
        <w:rPr>
          <w:b/>
          <w:bCs/>
          <w:i/>
          <w:iCs/>
          <w:sz w:val="23"/>
          <w:szCs w:val="23"/>
          <w:shd w:fill="auto" w:val="clear"/>
        </w:rPr>
        <w:t>Welcome and Introduction</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10.00–10.30 Michael Friedrich</w:t>
      </w:r>
    </w:p>
    <w:p>
      <w:pPr>
        <w:pStyle w:val="Normal"/>
        <w:bidi w:val="0"/>
        <w:jc w:val="both"/>
        <w:rPr>
          <w:sz w:val="23"/>
          <w:szCs w:val="23"/>
        </w:rPr>
      </w:pPr>
      <w:r>
        <w:rPr>
          <w:b/>
          <w:bCs/>
          <w:i/>
          <w:iCs/>
          <w:sz w:val="23"/>
          <w:szCs w:val="23"/>
          <w:shd w:fill="auto" w:val="clear"/>
        </w:rPr>
        <w:t>Why Manuscript Studies? On the Anthropological Dimension of the Cultural Practice of Writing</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 xml:space="preserve">10.30–11.00 </w:t>
      </w:r>
      <w:r>
        <w:rPr>
          <w:i/>
          <w:iCs/>
          <w:sz w:val="23"/>
          <w:szCs w:val="23"/>
          <w:shd w:fill="auto" w:val="clear"/>
        </w:rPr>
        <w:t>Coffee break</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11.00–12.00 Emma Abate &amp; Saverio Campanini</w:t>
      </w:r>
    </w:p>
    <w:p>
      <w:pPr>
        <w:pStyle w:val="Normal"/>
        <w:bidi w:val="0"/>
        <w:jc w:val="both"/>
        <w:rPr>
          <w:sz w:val="23"/>
          <w:szCs w:val="23"/>
        </w:rPr>
      </w:pPr>
      <w:r>
        <w:rPr>
          <w:b/>
          <w:bCs/>
          <w:i/>
          <w:iCs/>
          <w:sz w:val="23"/>
          <w:szCs w:val="23"/>
          <w:shd w:fill="auto" w:val="clear"/>
        </w:rPr>
        <w:t>The Formation of Hebrew Books Collections: Case Studies</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12.00–13.00 Giovanni Ciotti &amp; Marco Franceschini</w:t>
      </w:r>
    </w:p>
    <w:p>
      <w:pPr>
        <w:pStyle w:val="Normal"/>
        <w:bidi w:val="0"/>
        <w:jc w:val="both"/>
        <w:rPr>
          <w:sz w:val="23"/>
          <w:szCs w:val="23"/>
        </w:rPr>
      </w:pPr>
      <w:r>
        <w:rPr>
          <w:b/>
          <w:bCs/>
          <w:i/>
          <w:iCs/>
          <w:sz w:val="23"/>
          <w:szCs w:val="23"/>
          <w:shd w:fill="auto" w:val="clear"/>
        </w:rPr>
        <w:t>From Colophons to Material Analysis: A Comprehensive Approach to the Study of Palm Leaf Manuscripts from Tamil Nadu</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 xml:space="preserve">13.00–14.00 </w:t>
      </w:r>
      <w:r>
        <w:rPr>
          <w:i/>
          <w:iCs/>
          <w:sz w:val="23"/>
          <w:szCs w:val="23"/>
          <w:shd w:fill="auto" w:val="clear"/>
        </w:rPr>
        <w:t>Lunch break</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14.00–15.30</w:t>
      </w:r>
    </w:p>
    <w:p>
      <w:pPr>
        <w:pStyle w:val="Normal"/>
        <w:bidi w:val="0"/>
        <w:jc w:val="both"/>
        <w:rPr>
          <w:sz w:val="23"/>
          <w:szCs w:val="23"/>
        </w:rPr>
      </w:pPr>
      <w:r>
        <w:rPr>
          <w:sz w:val="23"/>
          <w:szCs w:val="23"/>
          <w:u w:val="none"/>
          <w:shd w:fill="auto" w:val="clear"/>
        </w:rPr>
        <w:t>Lucia Raggetti</w:t>
      </w:r>
    </w:p>
    <w:p>
      <w:pPr>
        <w:pStyle w:val="Normal"/>
        <w:bidi w:val="0"/>
        <w:jc w:val="both"/>
        <w:rPr>
          <w:sz w:val="23"/>
          <w:szCs w:val="23"/>
        </w:rPr>
      </w:pPr>
      <w:r>
        <w:rPr>
          <w:b/>
          <w:bCs/>
          <w:i/>
          <w:iCs/>
          <w:sz w:val="23"/>
          <w:szCs w:val="23"/>
          <w:u w:val="none"/>
          <w:shd w:fill="auto" w:val="clear"/>
        </w:rPr>
        <w:t>The Library of Abū al-ʿAlā ibn Zuhr: Galenic Medicine and Quaint Erudition</w:t>
      </w:r>
    </w:p>
    <w:p>
      <w:pPr>
        <w:pStyle w:val="Normal"/>
        <w:bidi w:val="0"/>
        <w:jc w:val="both"/>
        <w:rPr>
          <w:sz w:val="23"/>
          <w:szCs w:val="23"/>
        </w:rPr>
      </w:pPr>
      <w:r>
        <w:rPr>
          <w:sz w:val="23"/>
          <w:szCs w:val="23"/>
          <w:shd w:fill="auto" w:val="clear"/>
        </w:rPr>
        <w:t>Sara Fani</w:t>
      </w:r>
    </w:p>
    <w:p>
      <w:pPr>
        <w:pStyle w:val="Normal"/>
        <w:bidi w:val="0"/>
        <w:jc w:val="both"/>
        <w:rPr>
          <w:sz w:val="23"/>
          <w:szCs w:val="23"/>
        </w:rPr>
      </w:pPr>
      <w:r>
        <w:rPr>
          <w:b/>
          <w:bCs/>
          <w:i/>
          <w:iCs/>
          <w:sz w:val="23"/>
          <w:szCs w:val="23"/>
          <w:shd w:fill="auto" w:val="clear"/>
        </w:rPr>
        <w:t>Second Chances: Ink Production and Removal According to Recipes from the Arab World.</w:t>
      </w:r>
    </w:p>
    <w:p>
      <w:pPr>
        <w:pStyle w:val="Normal"/>
        <w:bidi w:val="0"/>
        <w:jc w:val="both"/>
        <w:rPr>
          <w:sz w:val="23"/>
          <w:szCs w:val="23"/>
        </w:rPr>
      </w:pPr>
      <w:r>
        <w:rPr>
          <w:sz w:val="23"/>
          <w:szCs w:val="23"/>
          <w:shd w:fill="auto" w:val="clear"/>
        </w:rPr>
        <w:t>Celeste Gianni</w:t>
      </w:r>
    </w:p>
    <w:p>
      <w:pPr>
        <w:pStyle w:val="Normal"/>
        <w:bidi w:val="0"/>
        <w:jc w:val="both"/>
        <w:rPr>
          <w:sz w:val="23"/>
          <w:szCs w:val="23"/>
        </w:rPr>
      </w:pPr>
      <w:r>
        <w:rPr>
          <w:b/>
          <w:bCs/>
          <w:i/>
          <w:iCs/>
          <w:sz w:val="23"/>
          <w:szCs w:val="23"/>
          <w:shd w:fill="auto" w:val="clear"/>
        </w:rPr>
        <w:t>Retracing Family Histories from the Ownership and Marginal Notes in the Arabic Manuscripts of the Great ʿUmari Mosque in Gaza</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 xml:space="preserve">15.30–16.00 </w:t>
      </w:r>
      <w:r>
        <w:rPr>
          <w:i/>
          <w:iCs/>
          <w:sz w:val="23"/>
          <w:szCs w:val="23"/>
          <w:shd w:fill="auto" w:val="clear"/>
        </w:rPr>
        <w:t>Coffee break</w:t>
      </w:r>
    </w:p>
    <w:p>
      <w:pPr>
        <w:pStyle w:val="Normal"/>
        <w:bidi w:val="0"/>
        <w:jc w:val="both"/>
        <w:rPr>
          <w:rFonts w:ascii="Liberation Serif" w:hAnsi="Liberation Serif"/>
          <w:sz w:val="23"/>
          <w:szCs w:val="23"/>
          <w:highlight w:val="none"/>
          <w:shd w:fill="auto" w:val="clear"/>
        </w:rPr>
      </w:pPr>
      <w:r>
        <w:rPr>
          <w:sz w:val="23"/>
          <w:szCs w:val="23"/>
          <w:shd w:fill="auto" w:val="clear"/>
        </w:rPr>
      </w:r>
    </w:p>
    <w:p>
      <w:pPr>
        <w:pStyle w:val="Normal"/>
        <w:bidi w:val="0"/>
        <w:jc w:val="both"/>
        <w:rPr>
          <w:sz w:val="23"/>
          <w:szCs w:val="23"/>
        </w:rPr>
      </w:pPr>
      <w:r>
        <w:rPr>
          <w:sz w:val="23"/>
          <w:szCs w:val="23"/>
          <w:shd w:fill="auto" w:val="clear"/>
        </w:rPr>
        <w:t>16.00–17.30</w:t>
      </w:r>
    </w:p>
    <w:p>
      <w:pPr>
        <w:pStyle w:val="Normal"/>
        <w:bidi w:val="0"/>
        <w:jc w:val="both"/>
        <w:rPr>
          <w:sz w:val="23"/>
          <w:szCs w:val="23"/>
        </w:rPr>
      </w:pPr>
      <w:r>
        <w:rPr>
          <w:sz w:val="23"/>
          <w:szCs w:val="23"/>
          <w:shd w:fill="auto" w:val="clear"/>
        </w:rPr>
        <w:t>Giulio Iovine</w:t>
      </w:r>
    </w:p>
    <w:p>
      <w:pPr>
        <w:pStyle w:val="Normal"/>
        <w:bidi w:val="0"/>
        <w:jc w:val="both"/>
        <w:rPr>
          <w:sz w:val="23"/>
          <w:szCs w:val="23"/>
        </w:rPr>
      </w:pPr>
      <w:r>
        <w:rPr>
          <w:b/>
          <w:bCs/>
          <w:i/>
          <w:iCs/>
          <w:sz w:val="23"/>
          <w:szCs w:val="23"/>
          <w:shd w:fill="auto" w:val="clear"/>
        </w:rPr>
        <w:t>Papyrology: Writing books and Documents in the Graeco-Roman Era</w:t>
      </w:r>
    </w:p>
    <w:p>
      <w:pPr>
        <w:pStyle w:val="Normal"/>
        <w:bidi w:val="0"/>
        <w:jc w:val="both"/>
        <w:rPr>
          <w:sz w:val="23"/>
          <w:szCs w:val="23"/>
        </w:rPr>
      </w:pPr>
      <w:r>
        <w:rPr>
          <w:sz w:val="23"/>
          <w:szCs w:val="23"/>
          <w:shd w:fill="auto" w:val="clear"/>
        </w:rPr>
        <w:t>Giacomo Vignodelli</w:t>
      </w:r>
    </w:p>
    <w:p>
      <w:pPr>
        <w:pStyle w:val="Normal"/>
        <w:bidi w:val="0"/>
        <w:jc w:val="both"/>
        <w:rPr>
          <w:sz w:val="23"/>
          <w:szCs w:val="23"/>
        </w:rPr>
      </w:pPr>
      <w:r>
        <w:rPr>
          <w:b/>
          <w:bCs/>
          <w:i/>
          <w:iCs/>
          <w:sz w:val="23"/>
          <w:szCs w:val="23"/>
          <w:shd w:fill="auto" w:val="clear"/>
        </w:rPr>
        <w:t>INTRADAMS: A Research-Based Summer School for the Integration of Traditional and Digital Approaches in Manuscript Studies</w:t>
      </w:r>
    </w:p>
    <w:p>
      <w:pPr>
        <w:pStyle w:val="Normal"/>
        <w:bidi w:val="0"/>
        <w:jc w:val="both"/>
        <w:rPr>
          <w:sz w:val="23"/>
          <w:szCs w:val="23"/>
        </w:rPr>
      </w:pPr>
      <w:r>
        <w:rPr>
          <w:sz w:val="23"/>
          <w:szCs w:val="23"/>
          <w:shd w:fill="auto" w:val="clear"/>
        </w:rPr>
        <w:t>Anna Sirinian</w:t>
      </w:r>
    </w:p>
    <w:p>
      <w:pPr>
        <w:pStyle w:val="Normal"/>
        <w:bidi w:val="0"/>
        <w:jc w:val="both"/>
        <w:rPr>
          <w:sz w:val="23"/>
          <w:szCs w:val="23"/>
        </w:rPr>
      </w:pPr>
      <w:r>
        <w:rPr>
          <w:b/>
          <w:bCs/>
          <w:i/>
          <w:iCs/>
          <w:sz w:val="23"/>
          <w:szCs w:val="23"/>
          <w:shd w:fill="auto" w:val="clear"/>
        </w:rPr>
        <w:t>The Colophons of Armenian Manuscripts as “Places of Memory”</w:t>
      </w:r>
    </w:p>
    <w:p>
      <w:pPr>
        <w:sectPr>
          <w:type w:val="continuous"/>
          <w:pgSz w:w="11906" w:h="16838"/>
          <w:pgMar w:left="680" w:right="680" w:gutter="0" w:header="0" w:top="510" w:footer="0" w:bottom="510"/>
          <w:cols w:num="2" w:space="282" w:equalWidth="true" w:sep="false"/>
          <w:formProt w:val="false"/>
          <w:textDirection w:val="lrTb"/>
          <w:docGrid w:type="default" w:linePitch="100" w:charSpace="0"/>
        </w:sectPr>
      </w:pPr>
    </w:p>
    <w:p>
      <w:pPr>
        <w:pStyle w:val="Normal"/>
        <w:bidi w:val="0"/>
        <w:jc w:val="both"/>
        <w:rPr>
          <w:rFonts w:ascii="Liberation Serif" w:hAnsi="Liberation Serif"/>
          <w:sz w:val="14"/>
          <w:szCs w:val="14"/>
        </w:rPr>
      </w:pPr>
      <w:r>
        <w:rPr>
          <w:sz w:val="14"/>
          <w:szCs w:val="14"/>
        </w:rPr>
      </w:r>
    </w:p>
    <w:p>
      <w:pPr>
        <w:pStyle w:val="Normal"/>
        <w:bidi w:val="0"/>
        <w:spacing w:before="0" w:after="31"/>
        <w:jc w:val="both"/>
        <w:rPr>
          <w:rFonts w:ascii="Liberation Serif" w:hAnsi="Liberation Serif"/>
        </w:rPr>
      </w:pPr>
      <w:r>
        <w:rPr>
          <w:sz w:val="20"/>
          <w:szCs w:val="20"/>
        </w:rPr>
        <w:t>Attività valida per il conseguimento dei CFU seminari per il Corso di Laurea in Antropologia, religioni, civiltà orientali, i Corsi di Laurea Magistrale in Antropologia culturale ed etnologia, Global Cultures, Religioni Storie Culture, Scienze storiche e orientalistiche, e per il Corso di Dottorato in Storie, Culture e Politiche del Globale</w:t>
      </w:r>
    </w:p>
    <w:p>
      <w:pPr>
        <w:pStyle w:val="Normal"/>
        <w:bidi w:val="0"/>
        <w:jc w:val="both"/>
        <w:rPr>
          <w:rFonts w:ascii="Liberation Serif" w:hAnsi="Liberation Serif"/>
        </w:rPr>
      </w:pPr>
      <w:r>
        <w:rPr>
          <w:sz w:val="20"/>
          <w:szCs w:val="20"/>
        </w:rPr>
        <w:t>Docente responsabile: Giovanni Ciotti (giovanni.ciotti2@unibo.it)</w:t>
      </w:r>
    </w:p>
    <w:sectPr>
      <w:type w:val="continuous"/>
      <w:pgSz w:w="11906" w:h="16838"/>
      <w:pgMar w:left="680" w:right="680" w:gutter="0" w:header="0" w:top="510" w:footer="0" w:bottom="51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Normal"/>
    <w:pPr>
      <w:tabs>
        <w:tab w:val="clear" w:pos="709"/>
        <w:tab w:val="center" w:pos="4819" w:leader="none"/>
        <w:tab w:val="right" w:pos="9638" w:leader="none"/>
      </w:tabs>
      <w:spacing w:lineRule="auto" w:line="276" w:before="0" w:after="200"/>
    </w:pPr>
    <w:rPr>
      <w:rFonts w:ascii="Calibri" w:hAnsi="Calibri" w:eastAsia="Calibri"/>
      <w:sz w:val="22"/>
      <w:szCs w:val="22"/>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6610</TotalTime>
  <Application>LibreOffice/7.5.5.2$Windows_X86_64 LibreOffice_project/ca8fe7424262805f223b9a2334bc7181abbcbf5e</Application>
  <AppVersion>15.0000</AppVersion>
  <Pages>1</Pages>
  <Words>435</Words>
  <Characters>2534</Characters>
  <CharactersWithSpaces>2922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2024-04-03T13:46:28Z</dcterms:created>
  <dc:creator/>
  <dc:description/>
  <dc:language>en-GB</dc:language>
  <cp:lastModifiedBy/>
  <dcterms:modified xsi:type="dcterms:W3CDTF">2024-09-28T00:30:38Z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file>